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98" w:rsidRPr="003C2E98" w:rsidRDefault="003C2E98" w:rsidP="003C2E98">
      <w:pPr>
        <w:keepNext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24"/>
          <w:lang w:eastAsia="pt-BR"/>
        </w:rPr>
      </w:pPr>
      <w:r w:rsidRPr="003C2E98">
        <w:rPr>
          <w:rFonts w:ascii="Arial" w:eastAsia="Times New Roman" w:hAnsi="Arial" w:cs="Arial"/>
          <w:b/>
          <w:bCs/>
          <w:sz w:val="18"/>
          <w:szCs w:val="24"/>
          <w:lang w:eastAsia="pt-BR"/>
        </w:rPr>
        <w:t>AGÊNCIA NACIONAL DO PETRÓLEO, GÁS NATURAL E BIOCOMBUSTÍVEIS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 </w:t>
      </w:r>
    </w:p>
    <w:p w:rsidR="003C2E98" w:rsidRPr="003C2E98" w:rsidRDefault="003C2E98" w:rsidP="003C2E98">
      <w:pPr>
        <w:pBdr>
          <w:top w:val="single" w:sz="2" w:space="0" w:color="000080"/>
          <w:bottom w:val="single" w:sz="2" w:space="0" w:color="000080"/>
        </w:pBd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color w:val="000080"/>
          <w:sz w:val="26"/>
          <w:szCs w:val="20"/>
          <w:lang w:eastAsia="pt-BR"/>
        </w:rPr>
      </w:pPr>
      <w:r w:rsidRPr="003C2E98">
        <w:rPr>
          <w:rFonts w:ascii="Arial" w:eastAsia="Times New Roman" w:hAnsi="Arial" w:cs="Times New Roman"/>
          <w:b/>
          <w:color w:val="000080"/>
          <w:sz w:val="26"/>
          <w:szCs w:val="20"/>
          <w:lang w:eastAsia="pt-BR"/>
        </w:rPr>
        <w:t>RESOLUÇÃO ANP Nº 6, DE 3.2.2011 - DOU 7.2.2011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 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A Diretora-Geral Substituta da Agência Nacional do Petróleo, Gás Natural e </w:t>
      </w:r>
      <w:proofErr w:type="spellStart"/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Biocombustíveis</w:t>
      </w:r>
      <w:proofErr w:type="spellEnd"/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- ANP, no uso da atribuição legal que lhe confere a Portaria ANP nº </w:t>
      </w:r>
      <w:hyperlink r:id="rId4" w:history="1">
        <w:r w:rsidRPr="003C2E98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305</w:t>
        </w:r>
      </w:hyperlink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, de 21 de dezembro de 2010, e com base na Resolução de Diretoria nº 98, de </w:t>
      </w:r>
      <w:proofErr w:type="gramStart"/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2</w:t>
      </w:r>
      <w:proofErr w:type="gramEnd"/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de fevereiro de 2011, e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Considerando que a ANP tem por finalidade promover a regulação, a contratação e a fiscalização das atividades econômicas integrantes da indústria do petróleo, gás natural e </w:t>
      </w:r>
      <w:proofErr w:type="spellStart"/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biocombustíveis</w:t>
      </w:r>
      <w:proofErr w:type="spellEnd"/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, de acordo com o estabelecido na legislação, nas diretrizes emanadas do Conselho Nacional de Política Energética - CNPE e em conformidade com os interesses do País, na forma estabelecida nos </w:t>
      </w:r>
      <w:proofErr w:type="spellStart"/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arts</w:t>
      </w:r>
      <w:proofErr w:type="spellEnd"/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. </w:t>
      </w:r>
      <w:hyperlink r:id="rId5" w:history="1">
        <w:proofErr w:type="gramStart"/>
        <w:r w:rsidRPr="003C2E98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8</w:t>
        </w:r>
        <w:proofErr w:type="gramEnd"/>
      </w:hyperlink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º, incisos XV e XVI, 8º-A e </w:t>
      </w:r>
      <w:hyperlink r:id="rId6" w:history="1">
        <w:r w:rsidRPr="003C2E98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56</w:t>
        </w:r>
      </w:hyperlink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da Lei nº 9.478, de 6 de agosto de 1997, no art. 1º (§§ 1º e 2º) da Lei nº 9.847, de 26 de outubro de 1999, - no art. </w:t>
      </w:r>
      <w:hyperlink r:id="rId7" w:history="1">
        <w:r w:rsidRPr="003C2E98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2</w:t>
        </w:r>
      </w:hyperlink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º, Capítulo I, Anexo I, do Decreto nº 2.455, de 14 de janeiro de 1998, na Lei nº </w:t>
      </w:r>
      <w:hyperlink r:id="rId8" w:history="1">
        <w:r w:rsidRPr="003C2E98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11.909</w:t>
        </w:r>
      </w:hyperlink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, de 4 de março de 2009 e no Decreto nº </w:t>
      </w:r>
      <w:hyperlink r:id="rId9" w:history="1">
        <w:r w:rsidRPr="003C2E98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7.382</w:t>
        </w:r>
      </w:hyperlink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, de 02 de dezembro de 2010;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Considerando que a ANP tem como princípio exercer a fiscalização no sentido da educação e orientação dos agentes econômicos do setor, bem como da prevenção e repressão de condutas violadoras da legislação pertinente, das disposições estabelecidas nos contratos e nas autorizações, conforme estabelece o inciso VI do art. </w:t>
      </w:r>
      <w:hyperlink r:id="rId10" w:history="1">
        <w:proofErr w:type="gramStart"/>
        <w:r w:rsidRPr="003C2E98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3</w:t>
        </w:r>
        <w:proofErr w:type="gramEnd"/>
      </w:hyperlink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º, Capítulo I, Anexo I do Decreto nº 2.455, de 14 de janeiro de 1998;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Considerando que compete à ANP estabelecer os requisitos técnicos, econômicos e jurídicos a serem atendidos pelos agentes autorizados ou concessionários responsáveis pela movimentação, por Dutos Terrestres, de petróleo, seus derivados e gás natural, visando à proteção ambiental, à segurança das instalações e das populações;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Considerando a necessidade de se estabelecer os requisitos essenciais e os mínimos padrões de segurança operacional para os Dutos Terrestres para movimentação de petróleo, seus derivados e gás natural, torna público o seguinte ato: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 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pt-BR"/>
        </w:rPr>
        <w:t>Art. 1º</w:t>
      </w: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Fica aprovado o </w:t>
      </w:r>
      <w:hyperlink r:id="rId11" w:history="1">
        <w:r w:rsidRPr="003C2E98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 xml:space="preserve">Regulamento Técnico ANP nº 2/2011 - Regulamento Técnico de Dutos Terrestres para Movimentação de Petróleo, Derivados e Gás Natural - </w:t>
        </w:r>
        <w:proofErr w:type="gramStart"/>
        <w:r w:rsidRPr="003C2E98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RTDT(</w:t>
        </w:r>
        <w:proofErr w:type="gramEnd"/>
        <w:r w:rsidRPr="003C2E98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*)</w:t>
        </w:r>
      </w:hyperlink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, parte integrante desta Resolução, relativos aos oleodutos e gasodutos autorizados ou concedidos a operar pela ANP.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Parágrafo único. Para os fins desta Resolução e seus anexos ficam estabelecidas as definições a seguir: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I - Dutos Existentes: Dutos que, na data de publicação desta resolução, já estejam autorizados para construção ou operação, bem como estejam aprovados em plano de desenvolvimento de área de concessão, ambos pela ANP;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II - Dutos Novos: Todos aqueles que não se enquadram na definição de Dutos Existentes.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pt-BR"/>
        </w:rPr>
        <w:t>Art. 2º</w:t>
      </w: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Fica instituída a gestão de segurança operacional dos Dutos Terrestres para movimentação de petróleo, seus derivados e gás natural.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§ 1º Na gestão de segurança operacional dos Dutos Terrestres são consideradas responsabilidades da empresa concessionária ou autorizada pela ANP: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I - determinar que o operador da Instalação disponha de um sistema de gestão que atenda ao estabelecido no </w:t>
      </w:r>
      <w:hyperlink r:id="rId12" w:history="1">
        <w:r w:rsidRPr="003C2E98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Regulamento Técnico ANP nº 2/2011 - Regulamento Técnico de Dutos Terrestres para Movimentação de Petróleo, Derivados e Gás Natural - RTDT</w:t>
        </w:r>
      </w:hyperlink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, instituído pela ANP, parte integrante desta Resolução;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II - submeter à ANP a documentação prevista no art. 3º.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§ 2º Na gestão de segurança operacional dos Dutos Terrestres são consideradas atribuições da ANP: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I - efetuar análise da documentação relacionada no RTDT e no art. 3º;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II - efetuar fiscalização das instalações abrangidas pelo RTDT;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lastRenderedPageBreak/>
        <w:t>III - exercer ações de injunção quando constatadas não-conformidades com o RTDT aprovado por esta Resolução e demais exigências contidas na legislação pertinente, na forma estabelecida em legislação específica sobre os procedimentos de imposição de penalidades.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pt-BR"/>
        </w:rPr>
        <w:t>Art. 3º</w:t>
      </w: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Para os Dutos Existentes, a empresa concessionária ou autorizada apresentará à ANP os seguintes documentos, no prazo de 180 (cento e oitenta) dias contados da publicação desta Resolução: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I - Lista, em forma de tabela, dos Dutos abrangidos pelo RTDT, que contenha as seguintes informações: (i) identificação do Duto; (</w:t>
      </w:r>
      <w:proofErr w:type="gramStart"/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ii</w:t>
      </w:r>
      <w:proofErr w:type="gramEnd"/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) instalação de origem; (iii) localidade de origem; (iv) instalação de destino; (v) localidade de destino; (vi) produto(s); (vii) diâmetro em polegadas; (viii) extensão, em km ou metros; (ix) ano de início das operações;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II - Matriz de correlação entre os documentos emitidos pela empresa e aqueles exigidos no RTDT, caso haja divergência na nomenclatura adotada;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III - Avaliação preliminar de risco do Duto ou de trecho do Duto, conforme critérios estabelecidos no Capítulo II do RTDT;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IV - Cronograma para </w:t>
      </w:r>
      <w:proofErr w:type="gramStart"/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implementação</w:t>
      </w:r>
      <w:proofErr w:type="gramEnd"/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dos requisitos constantes do RTDT.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pt-BR"/>
        </w:rPr>
        <w:t>Art. 4º</w:t>
      </w: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A ANP analisará a documentação apresentada pela empresa no prazo de 90 (noventa) dias, contados a partir da data de sua entrega.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Parágrafo único. A ANP poderá solicitar informações adicionais e, neste caso, o prazo mencionado no caput deste artigo passa a ser contado a partir da data de entrega das informações.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pt-BR"/>
        </w:rPr>
        <w:t>Art. 5º</w:t>
      </w: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Ocorrendo atrasos no cronograma apresentado, estes deverão ser comunicados imediatamente à ANP, com as devidas justificativas.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Parágrafo único. A ANP analisará as justificativas apresentadas pela empresa no prazo de 30 (trinta) dias, contados da data de sua entrega.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pt-BR"/>
        </w:rPr>
        <w:t>Art. 6º</w:t>
      </w: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As empresas concessionárias ou autorizadas a construir ou operar os Dutos Terrestres abrangidos pelo RTDT devem adequar os respectivos documentos aos itens cabíveis do Regulamento Técnico em anexo.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Parágrafo único. Os requisitos das normas de referência citadas no RTDT somente serão obrigatórios se vigentes na data de publicação da autorização ou concessão.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pt-BR"/>
        </w:rPr>
        <w:t>Art. 7º</w:t>
      </w: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Para fins de prazos de adequação a esta resolução e ao RTDT, a Ampliação de Dutos Existentes será tratada como Dutos Novos, caso ainda não tenha recebido a autorização para construção da ampliação ou sido aprovada nos planos de desenvolvimento de áreas de concessão.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pt-BR"/>
        </w:rPr>
        <w:t>Art. 8º</w:t>
      </w: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Os Dutos Existentes deverão estar adequados ao Regulamento Técnico anexo a presente Resolução em até </w:t>
      </w:r>
      <w:proofErr w:type="gramStart"/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2</w:t>
      </w:r>
      <w:proofErr w:type="gramEnd"/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(dois) anos após sua publicação.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Parágrafo único. Em situações especiais, o prazo poderá ser alterado, mediante fundamentação técnica a ser aprovada pela ANP, e não deve exceder </w:t>
      </w:r>
      <w:proofErr w:type="gramStart"/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4</w:t>
      </w:r>
      <w:proofErr w:type="gramEnd"/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(quatro) anos.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pt-BR"/>
        </w:rPr>
        <w:t>Art. 9º</w:t>
      </w: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O não cumprimento ao disposto nesta Resolução e no RTDT sujeitará o infrator às penalidades previstas na Lei nº </w:t>
      </w:r>
      <w:hyperlink r:id="rId13" w:history="1">
        <w:r w:rsidRPr="003C2E98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9.847</w:t>
        </w:r>
      </w:hyperlink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, de 26 de outubro de 1999 e na Portaria ANP nº </w:t>
      </w:r>
      <w:hyperlink r:id="rId14" w:history="1">
        <w:r w:rsidRPr="003C2E98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234</w:t>
        </w:r>
      </w:hyperlink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, de 12 de agosto de 2003, bem como nas demais disposições aplicáveis.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pt-BR"/>
        </w:rPr>
        <w:t>Art. 10.</w:t>
      </w: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Os casos omissos serão objeto de análise e deliberação da ANP.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pt-BR"/>
        </w:rPr>
        <w:t>Art. 11.</w:t>
      </w: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Esta Resolução entra em vigor na data de sua publicação.</w:t>
      </w:r>
    </w:p>
    <w:p w:rsidR="003C2E98" w:rsidRPr="003C2E98" w:rsidRDefault="003C2E98" w:rsidP="003C2E98">
      <w:pPr>
        <w:snapToGrid w:val="0"/>
        <w:spacing w:before="261" w:after="40" w:line="240" w:lineRule="auto"/>
        <w:ind w:firstLine="357"/>
        <w:jc w:val="center"/>
        <w:rPr>
          <w:rFonts w:ascii="Arial" w:eastAsia="Times New Roman" w:hAnsi="Arial" w:cs="Times New Roman"/>
          <w:i/>
          <w:color w:val="000080"/>
          <w:sz w:val="20"/>
          <w:szCs w:val="24"/>
          <w:lang w:eastAsia="pt-BR"/>
        </w:rPr>
      </w:pPr>
      <w:r w:rsidRPr="003C2E98">
        <w:rPr>
          <w:rFonts w:ascii="Arial" w:eastAsia="Times New Roman" w:hAnsi="Arial" w:cs="Times New Roman"/>
          <w:i/>
          <w:color w:val="000080"/>
          <w:sz w:val="20"/>
          <w:szCs w:val="24"/>
          <w:lang w:eastAsia="pt-BR"/>
        </w:rPr>
        <w:t>MAGDA MARIA DE REGINA CHAMBRIARD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 </w:t>
      </w:r>
    </w:p>
    <w:p w:rsidR="003C2E98" w:rsidRPr="003C2E98" w:rsidRDefault="003C2E98" w:rsidP="003C2E98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(*) O Regulamento Técnico ANP nº 2/2011 - Regulamento Técnico de Dutos Terrestres para Movimentação de Petróleo, Derivados e Gás Natural - RTDT citado no art. 1º e no inc. I do § 1º do art. 2º dessa Resolução encontra-se disponível no sítio da ANP em </w:t>
      </w:r>
      <w:hyperlink r:id="rId15" w:history="1">
        <w:r w:rsidRPr="003C2E98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www.anp.gov.br</w:t>
        </w:r>
      </w:hyperlink>
      <w:r w:rsidRPr="003C2E98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.</w:t>
      </w:r>
    </w:p>
    <w:p w:rsidR="003C2E98" w:rsidRPr="003C2E98" w:rsidRDefault="003C2E98" w:rsidP="003C2E98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240" w:after="120" w:line="240" w:lineRule="auto"/>
        <w:jc w:val="center"/>
        <w:rPr>
          <w:rFonts w:ascii="Arial" w:eastAsia="Times New Roman" w:hAnsi="Arial" w:cs="Times New Roman"/>
          <w:b/>
          <w:color w:val="000080"/>
          <w:sz w:val="24"/>
          <w:szCs w:val="24"/>
          <w:lang w:eastAsia="pt-BR"/>
        </w:rPr>
      </w:pPr>
      <w:r w:rsidRPr="003C2E98">
        <w:rPr>
          <w:rFonts w:ascii="Arial" w:eastAsia="Times New Roman" w:hAnsi="Arial" w:cs="Times New Roman"/>
          <w:b/>
          <w:color w:val="000080"/>
          <w:sz w:val="24"/>
          <w:szCs w:val="24"/>
          <w:lang w:eastAsia="pt-BR"/>
        </w:rPr>
        <w:t>ANEXO</w:t>
      </w:r>
    </w:p>
    <w:p w:rsidR="0007640C" w:rsidRPr="003C2E98" w:rsidRDefault="003C2E98" w:rsidP="003C2E98">
      <w:pPr>
        <w:snapToGrid w:val="0"/>
        <w:spacing w:before="261" w:after="40" w:line="240" w:lineRule="auto"/>
        <w:ind w:firstLine="357"/>
        <w:jc w:val="center"/>
        <w:rPr>
          <w:rFonts w:ascii="Arial" w:eastAsia="Times New Roman" w:hAnsi="Arial" w:cs="Times New Roman"/>
          <w:i/>
          <w:color w:val="000080"/>
          <w:sz w:val="20"/>
          <w:szCs w:val="24"/>
          <w:lang w:eastAsia="pt-BR"/>
        </w:rPr>
      </w:pPr>
      <w:hyperlink r:id="rId16" w:history="1">
        <w:r w:rsidRPr="003C2E98">
          <w:rPr>
            <w:rFonts w:ascii="Arial" w:eastAsia="Times New Roman" w:hAnsi="Arial" w:cs="Times New Roman"/>
            <w:i/>
            <w:iCs/>
            <w:color w:val="0000FF"/>
            <w:sz w:val="20"/>
            <w:szCs w:val="24"/>
            <w:u w:val="single"/>
            <w:lang w:eastAsia="pt-BR"/>
          </w:rPr>
          <w:t>Regulamento Técnico de Dutos Terrestres para Movimentação de Petróleo, Derivados e Gás Natural - RTDT</w:t>
        </w:r>
      </w:hyperlink>
    </w:p>
    <w:sectPr w:rsidR="0007640C" w:rsidRPr="003C2E98" w:rsidSect="00076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3C2E98"/>
    <w:rsid w:val="0007640C"/>
    <w:rsid w:val="003C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0C"/>
  </w:style>
  <w:style w:type="paragraph" w:styleId="Ttulo1">
    <w:name w:val="heading 1"/>
    <w:basedOn w:val="Normal"/>
    <w:next w:val="Normal"/>
    <w:link w:val="Ttulo1Char"/>
    <w:uiPriority w:val="9"/>
    <w:qFormat/>
    <w:rsid w:val="003C2E98"/>
    <w:pPr>
      <w:keepNext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2E98"/>
    <w:rPr>
      <w:rFonts w:ascii="Arial" w:eastAsia="Times New Roman" w:hAnsi="Arial" w:cs="Arial"/>
      <w:b/>
      <w:bCs/>
      <w:sz w:val="1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2E98"/>
    <w:rPr>
      <w:i/>
      <w:iCs/>
      <w:color w:val="0000FF"/>
      <w:u w:val="single"/>
    </w:rPr>
  </w:style>
  <w:style w:type="paragraph" w:customStyle="1" w:styleId="assinatura">
    <w:name w:val="assinatura"/>
    <w:basedOn w:val="Normal"/>
    <w:rsid w:val="003C2E98"/>
    <w:pPr>
      <w:snapToGrid w:val="0"/>
      <w:spacing w:before="261" w:after="40" w:line="240" w:lineRule="auto"/>
      <w:ind w:firstLine="357"/>
      <w:jc w:val="center"/>
    </w:pPr>
    <w:rPr>
      <w:rFonts w:ascii="Arial" w:eastAsia="Times New Roman" w:hAnsi="Arial" w:cs="Times New Roman"/>
      <w:i/>
      <w:color w:val="000080"/>
      <w:sz w:val="20"/>
      <w:szCs w:val="24"/>
      <w:lang w:eastAsia="pt-BR"/>
    </w:rPr>
  </w:style>
  <w:style w:type="paragraph" w:customStyle="1" w:styleId="anexo">
    <w:name w:val="anexo"/>
    <w:basedOn w:val="Normal"/>
    <w:rsid w:val="003C2E98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240" w:after="120" w:line="240" w:lineRule="auto"/>
      <w:jc w:val="center"/>
    </w:pPr>
    <w:rPr>
      <w:rFonts w:ascii="Arial" w:eastAsia="Times New Roman" w:hAnsi="Arial" w:cs="Times New Roman"/>
      <w:b/>
      <w:color w:val="000080"/>
      <w:sz w:val="24"/>
      <w:szCs w:val="24"/>
      <w:lang w:eastAsia="pt-BR"/>
    </w:rPr>
  </w:style>
  <w:style w:type="paragraph" w:customStyle="1" w:styleId="Norma">
    <w:name w:val="Norma"/>
    <w:rsid w:val="003C2E98"/>
    <w:pPr>
      <w:pBdr>
        <w:top w:val="single" w:sz="2" w:space="0" w:color="000080"/>
        <w:bottom w:val="single" w:sz="2" w:space="0" w:color="000080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6"/>
      <w:szCs w:val="20"/>
      <w:lang w:eastAsia="pt-BR"/>
    </w:rPr>
  </w:style>
  <w:style w:type="paragraph" w:customStyle="1" w:styleId="Texto">
    <w:name w:val="Texto"/>
    <w:basedOn w:val="Normal"/>
    <w:autoRedefine/>
    <w:rsid w:val="003C2E98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xt.anp.gov.br/nxt/gateway.dll?f=id$id=Lei%2011.909%20-%202009" TargetMode="External"/><Relationship Id="rId13" Type="http://schemas.openxmlformats.org/officeDocument/2006/relationships/hyperlink" Target="http://nxt.anp.gov.br/nxt/gateway.dll?f=id$id=Lei%209.847%20-%20199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xt.anp.gov.br/nxt/gateway.dll/leg/decretos/nxt/gateway.dll?f=id$id=Dec%202.455%20-%201998$an=anexoI_art2" TargetMode="External"/><Relationship Id="rId12" Type="http://schemas.openxmlformats.org/officeDocument/2006/relationships/hyperlink" Target="http://www.anp.gov.br/?dw=4226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np.gov.br/?dw=42266" TargetMode="External"/><Relationship Id="rId1" Type="http://schemas.openxmlformats.org/officeDocument/2006/relationships/styles" Target="styles.xml"/><Relationship Id="rId6" Type="http://schemas.openxmlformats.org/officeDocument/2006/relationships/hyperlink" Target="http://nxt.anp.gov.br/nxt/gateway.dll/leg/leis/nxt/gateway.dll?f=id$id=Lei%209.478%20-%201997$an=art56" TargetMode="External"/><Relationship Id="rId11" Type="http://schemas.openxmlformats.org/officeDocument/2006/relationships/hyperlink" Target="http://www.anp.gov.br/?dw=42266" TargetMode="External"/><Relationship Id="rId5" Type="http://schemas.openxmlformats.org/officeDocument/2006/relationships/hyperlink" Target="http://nxt.anp.gov.br/nxt/gateway.dll/leg/leis/nxt/gateway.dll?f=id$id=Lei%209.478%20-%201997$an=art8" TargetMode="External"/><Relationship Id="rId15" Type="http://schemas.openxmlformats.org/officeDocument/2006/relationships/hyperlink" Target="http://www.anp.gov.br" TargetMode="External"/><Relationship Id="rId10" Type="http://schemas.openxmlformats.org/officeDocument/2006/relationships/hyperlink" Target="http://nxt.anp.gov.br/nxt/gateway.dll/leg/decretos/nxt/gateway.dll?f=id$id=Dec%202.455%20-%201998$an=anexoI_art3" TargetMode="External"/><Relationship Id="rId4" Type="http://schemas.openxmlformats.org/officeDocument/2006/relationships/hyperlink" Target="http://nxt.anp.gov.br/nxt/gateway.dll?f=id$id=PANP%20305%20-%202010" TargetMode="External"/><Relationship Id="rId9" Type="http://schemas.openxmlformats.org/officeDocument/2006/relationships/hyperlink" Target="http://nxt.anp.gov.br/nxt/gateway.dll?f=id$id=Dec%207.382%20-%202010" TargetMode="External"/><Relationship Id="rId14" Type="http://schemas.openxmlformats.org/officeDocument/2006/relationships/hyperlink" Target="http://nxt.anp.gov.br/nxt/gateway.dll?f=id$id=PANP%20234%20-%20200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1277</Words>
  <Characters>6899</Characters>
  <Application>Microsoft Office Word</Application>
  <DocSecurity>0</DocSecurity>
  <Lines>57</Lines>
  <Paragraphs>16</Paragraphs>
  <ScaleCrop>false</ScaleCrop>
  <Company>Ultra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sergio.ricardo</dc:creator>
  <cp:keywords/>
  <dc:description/>
  <cp:lastModifiedBy>sergio.ricardo</cp:lastModifiedBy>
  <cp:revision>1</cp:revision>
  <dcterms:created xsi:type="dcterms:W3CDTF">2011-06-16T02:00:00Z</dcterms:created>
  <dcterms:modified xsi:type="dcterms:W3CDTF">2011-06-16T02:02:00Z</dcterms:modified>
</cp:coreProperties>
</file>